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How did you work on today's topic?</w:t>
      </w:r>
    </w:p>
    <w:p>
      <w:pPr>
        <w:pStyle w:val="Heading6"/>
      </w:pPr>
      <w:r>
        <w:rPr>
          <w:b/>
          <w:bCs/>
        </w:rPr>
        <w:t xml:space="preserve">I believed that I could learn about the water cycle even though it was hard at first.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gave up when I didn't understand something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When I got something wrong, I asked for help.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try my best because I thought the water cycle was too difficult.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excited to learn something new about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was afraid to make mistakes during the class on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kept trying even when the water cycle was confusing.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 didn't think I could get better at understanding the water cycle.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Make a drawing of how your mind was working during today's class</w:t>
      </w:r>
    </w:p>
    <w:p>
      <w:pPr>
        <w:pStyle w:val="default"/>
      </w:pPr>
      <w:r>
        <w:t xml:space="preserve">Today, my mind looked like this: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 (elementary)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hhqssyeyd2v8hckdp4-n.png"/><Relationship Id="rId1" Type="http://schemas.openxmlformats.org/officeDocument/2006/relationships/image" Target="media/og53ntovlr2zieyfkxz1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2025-05-01T11:43:56.165Z</dcterms:created>
  <dcterms:modified xsi:type="dcterms:W3CDTF">2025-05-01T11:43:56.165Z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